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06 Jan - 26 Jan 2026</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(Jan 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(Jan 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(Jan 8): South Atlantic Ocean</w:t>
            </w:r>
          </w:p>
          <w:p>
            <w:pPr/>
            <w:r>
              <w:rPr/>
              <w:t xml:space="preserve">	 After transiting the Beagle Channel and passing the islands of Tierra del Fuego, we head northeast toward the Falkland Islands. We keep a lookout for dolphins and whales. The ship’s stabilizing fins provide comfort in the event of rough seas. Presentations by our experts prepare you for our arrival in the Falkland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4-5 (Jan 9-10): Falkland Islands</w:t>
            </w:r>
          </w:p>
          <w:p>
            <w:pPr/>
            <w:r>
              <w:rPr/>
              <w:t xml:space="preserve">	 The remote and sparsely-populated Falkland Islands are a birders’ paradise. We anticipate spending two days in the remote outer islands where large colonies of penguins and albatross are easily accessible. The Falklands are also a great place to observe marine mammals. The waters around the archipelago are home to cetaceans such as Peale’s dolphins and Commerson’s dolphins. Our exact route and exploration opportunities are dependent on weather among these isolated and windswept islands. </w:t>
            </w:r>
          </w:p>
          <w:p>
            <w:pPr/>
          </w:p>
          <w:p>
            <w:pPr/>
            <w:r>
              <w:rPr/>
              <w:t xml:space="preserve">	 We also intend to visit the port of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6-7 (Jan 11-12): Southern Ocean</w:t>
            </w:r>
          </w:p>
          <w:p>
            <w:pPr/>
            <w:r>
              <w:rPr/>
              <w:t xml:space="preserve">	 From the Falkland Islands we head east toward South Georgia. We will cross the Antarctic Convergence, the biological boundary of the Southern Ocean. Briefings, bio-security procedures, and lectures from our experts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8-12 (Jan 13-17):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Grytviken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13-14 (Jan 18-19): Southern Ocean</w:t>
            </w:r>
          </w:p>
          <w:p>
            <w:pPr/>
            <w:r>
              <w:rPr/>
              <w:t xml:space="preserve">	 We continue west toward the Antarctic Peninsula. Pelagic seabirds including the majestic albatross are common in these waters and can readily be viewed from panoramic open decks or from exterior stateroom windows and balconies. We may also encounter enormous tabular icebergs drifting north from the Weddell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15-18 (Jan 20-23): South Shetland Islands and the Antarctic Peninsula</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19-20 (Jan 24-25): Drake Passage</w:t>
            </w:r>
          </w:p>
          <w:p>
            <w:pPr/>
            <w:r>
              <w:rPr/>
              <w:t xml:space="preserve">	 It is now time to head north across the Drake Passage toward South America, though the adventure is not quite over. We are always on the lookout for marine mammals and seabirds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21 (Jan 26):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$995</w:t>
            </w:r>
            <w:r>
              <w:rPr/>
              <w:t xml:space="preserve"> </w:t>
            </w:r>
            <w:r>
              <w:rPr>
                <w:b/>
              </w:rPr>
              <w:t xml:space="preserve">- €870 - A$1500 - £800</w:t>
            </w:r>
          </w:p>
          <w:p>
            <w:pP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US$ 20 095</w:t>
            </w:r>
          </w:p>
        </w:tc>
        <w:tc>
          <w:tcPr>
            <w:tcW w:w="1500" w:type="dxa"/>
          </w:tcPr>
          <w:p>
            <w:pPr>
              <w:spacing w:before="50" w:after="50"/>
            </w:pPr>
            <w:r>
              <w:rPr>
                <w:strike/>
              </w:rPr>
              <w:t xml:space="preserve">US$ 26 595</w:t>
            </w:r>
          </w:p>
        </w:tc>
        <w:tc>
          <w:tcPr>
            <w:tcW w:w="1500" w:type="dxa"/>
          </w:tcPr>
          <w:p>
            <w:pPr>
              <w:spacing w:before="50" w:after="50"/>
            </w:pPr>
            <w:r>
              <w:rPr>
                <w:strike/>
              </w:rPr>
              <w:t xml:space="preserve">US$ 39 895</w:t>
            </w:r>
          </w:p>
        </w:tc>
        <w:tc>
          <w:tcPr>
            <w:tcW w:w="1500" w:type="dxa"/>
          </w:tcPr>
          <w:p>
            <w:pPr>
              <w:spacing w:before="50" w:after="50"/>
            </w:pPr>
            <w:r>
              <w:rPr>
                <w:strike/>
              </w:rPr>
              <w:t xml:space="preserve">US$ 28 495</w:t>
            </w:r>
          </w:p>
        </w:tc>
        <w:tc>
          <w:tcPr>
            <w:tcW w:w="1500" w:type="dxa"/>
          </w:tcPr>
          <w:p>
            <w:pPr>
              <w:spacing w:before="50" w:after="50"/>
            </w:pPr>
            <w:r>
              <w:rPr>
                <w:strike/>
              </w:rPr>
              <w:t xml:space="preserve">US$ 28 995</w:t>
            </w:r>
          </w:p>
        </w:tc>
        <w:tc>
          <w:tcPr>
            <w:tcW w:w="1500" w:type="dxa"/>
          </w:tcPr>
          <w:p>
            <w:pPr>
              <w:spacing w:before="50" w:after="50"/>
            </w:pPr>
            <w:r>
              <w:rPr>
                <w:strike/>
              </w:rPr>
              <w:t xml:space="preserve">US$ 32 295</w:t>
            </w:r>
          </w:p>
        </w:tc>
        <w:tc>
          <w:tcPr>
            <w:tcW w:w="1500" w:type="dxa"/>
          </w:tcPr>
          <w:p>
            <w:pPr>
              <w:spacing w:before="50" w:after="50"/>
            </w:pPr>
            <w:r>
              <w:rPr>
                <w:strike/>
              </w:rPr>
              <w:t xml:space="preserve">US$ 34 795</w:t>
            </w:r>
          </w:p>
        </w:tc>
        <w:tc>
          <w:tcPr>
            <w:tcW w:w="1500" w:type="dxa"/>
          </w:tcPr>
          <w:p>
            <w:pPr>
              <w:spacing w:before="50" w:after="50"/>
            </w:pPr>
            <w:r>
              <w:rPr>
                <w:strike/>
              </w:rPr>
              <w:t xml:space="preserve">US$ 43 995</w:t>
            </w:r>
          </w:p>
        </w:tc>
      </w:tr>
      <w:tr>
        <w:trPr/>
        <w:tc>
          <w:tcPr>
            <w:tcW w:w="1500" w:type="dxa"/>
          </w:tcPr>
          <w:p>
            <w:pPr>
              <w:spacing w:before="50" w:after="50"/>
            </w:pPr>
            <w:r>
              <w:rPr/>
              <w:t xml:space="preserve">US$ 17 081</w:t>
            </w:r>
          </w:p>
        </w:tc>
        <w:tc>
          <w:tcPr>
            <w:tcW w:w="1500" w:type="dxa"/>
          </w:tcPr>
          <w:p>
            <w:pPr>
              <w:spacing w:before="50" w:after="50"/>
            </w:pPr>
            <w:r>
              <w:rPr/>
              <w:t xml:space="preserve">US$ 22 606</w:t>
            </w:r>
          </w:p>
        </w:tc>
        <w:tc>
          <w:tcPr>
            <w:tcW w:w="1500" w:type="dxa"/>
          </w:tcPr>
          <w:p>
            <w:pPr>
              <w:spacing w:before="50" w:after="50"/>
            </w:pPr>
            <w:r>
              <w:rPr/>
              <w:t xml:space="preserve">US$ 33 911</w:t>
            </w:r>
          </w:p>
        </w:tc>
        <w:tc>
          <w:tcPr>
            <w:tcW w:w="1500" w:type="dxa"/>
          </w:tcPr>
          <w:p>
            <w:pPr>
              <w:spacing w:before="50" w:after="50"/>
            </w:pPr>
            <w:r>
              <w:rPr/>
              <w:t xml:space="preserve">US$ 24 221</w:t>
            </w:r>
          </w:p>
        </w:tc>
        <w:tc>
          <w:tcPr>
            <w:tcW w:w="1500" w:type="dxa"/>
          </w:tcPr>
          <w:p>
            <w:pPr>
              <w:spacing w:before="50" w:after="50"/>
            </w:pPr>
            <w:r>
              <w:rPr/>
              <w:t xml:space="preserve">US$ 23 196</w:t>
            </w:r>
          </w:p>
        </w:tc>
        <w:tc>
          <w:tcPr>
            <w:tcW w:w="1500" w:type="dxa"/>
          </w:tcPr>
          <w:p>
            <w:pPr>
              <w:spacing w:before="50" w:after="50"/>
            </w:pPr>
            <w:r>
              <w:rPr/>
              <w:t xml:space="preserve">US$ 25 836</w:t>
            </w:r>
          </w:p>
        </w:tc>
        <w:tc>
          <w:tcPr>
            <w:tcW w:w="1500" w:type="dxa"/>
          </w:tcPr>
          <w:p>
            <w:pPr>
              <w:spacing w:before="50" w:after="50"/>
            </w:pPr>
            <w:r>
              <w:rPr/>
              <w:t xml:space="preserve">US$ 27 836</w:t>
            </w:r>
          </w:p>
        </w:tc>
        <w:tc>
          <w:tcPr>
            <w:tcW w:w="1500" w:type="dxa"/>
          </w:tcPr>
          <w:p>
            <w:pPr>
              <w:spacing w:before="50" w:after="50"/>
            </w:pPr>
            <w:r>
              <w:rPr/>
              <w:t xml:space="preserve">US$ 35 196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2024-05-20T13:00:56+00:00</dcterms:created>
  <dcterms:modified xsi:type="dcterms:W3CDTF">2024-05-20T13:00:56+00:00</dcterms:modified>
</cp:coreProperties>
</file>

<file path=docProps/custom.xml><?xml version="1.0" encoding="utf-8"?>
<Properties xmlns="http://schemas.openxmlformats.org/officeDocument/2006/custom-properties" xmlns:vt="http://schemas.openxmlformats.org/officeDocument/2006/docPropsVTypes"/>
</file>